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4758B" w14:textId="6AD7E0CE" w:rsidR="00E066DA" w:rsidRPr="00FF5147" w:rsidRDefault="00FF5147" w:rsidP="00E066DA">
      <w:pPr>
        <w:rPr>
          <w:sz w:val="22"/>
          <w:szCs w:val="22"/>
        </w:rPr>
      </w:pPr>
      <w:r w:rsidRPr="00FF5147">
        <w:rPr>
          <w:sz w:val="22"/>
          <w:szCs w:val="22"/>
        </w:rPr>
        <w:t>October 19</w:t>
      </w:r>
      <w:r w:rsidR="00E066DA" w:rsidRPr="00FF5147">
        <w:rPr>
          <w:sz w:val="22"/>
          <w:szCs w:val="22"/>
        </w:rPr>
        <w:t>, 2022</w:t>
      </w:r>
    </w:p>
    <w:p w14:paraId="4B5E2BE3" w14:textId="77777777" w:rsidR="00E066DA" w:rsidRPr="00FF5147" w:rsidRDefault="00E066DA" w:rsidP="00E066DA">
      <w:pPr>
        <w:rPr>
          <w:sz w:val="22"/>
          <w:szCs w:val="22"/>
        </w:rPr>
      </w:pPr>
    </w:p>
    <w:p w14:paraId="3F507197" w14:textId="77777777" w:rsidR="00FF5147" w:rsidRPr="00FF5147" w:rsidRDefault="00FF5147" w:rsidP="00FF5147">
      <w:pPr>
        <w:rPr>
          <w:sz w:val="22"/>
          <w:szCs w:val="22"/>
        </w:rPr>
      </w:pPr>
      <w:r w:rsidRPr="00FF5147">
        <w:rPr>
          <w:sz w:val="22"/>
          <w:szCs w:val="22"/>
        </w:rPr>
        <w:t>Charles County Board of County Commissioners</w:t>
      </w:r>
    </w:p>
    <w:p w14:paraId="0C228F1E" w14:textId="77777777" w:rsidR="00FF5147" w:rsidRPr="00FF5147" w:rsidRDefault="00FF5147" w:rsidP="00FF5147">
      <w:pPr>
        <w:rPr>
          <w:sz w:val="22"/>
          <w:szCs w:val="22"/>
        </w:rPr>
      </w:pPr>
      <w:r w:rsidRPr="00FF5147">
        <w:rPr>
          <w:sz w:val="22"/>
          <w:szCs w:val="22"/>
        </w:rPr>
        <w:t>200 Baltimore Street</w:t>
      </w:r>
    </w:p>
    <w:p w14:paraId="24D91C89" w14:textId="77777777" w:rsidR="00FF5147" w:rsidRPr="00FF5147" w:rsidRDefault="00FF5147" w:rsidP="00FF5147">
      <w:pPr>
        <w:rPr>
          <w:sz w:val="22"/>
          <w:szCs w:val="22"/>
        </w:rPr>
      </w:pPr>
      <w:r w:rsidRPr="00FF5147">
        <w:rPr>
          <w:sz w:val="22"/>
          <w:szCs w:val="22"/>
        </w:rPr>
        <w:t>La Plata, MD 20646</w:t>
      </w:r>
    </w:p>
    <w:p w14:paraId="382874CF" w14:textId="77777777" w:rsidR="00FF5147" w:rsidRPr="00FF5147" w:rsidRDefault="00FF5147" w:rsidP="00FF5147">
      <w:pPr>
        <w:rPr>
          <w:sz w:val="22"/>
          <w:szCs w:val="22"/>
        </w:rPr>
      </w:pPr>
      <w:r w:rsidRPr="00FF5147">
        <w:rPr>
          <w:sz w:val="22"/>
          <w:szCs w:val="22"/>
        </w:rPr>
        <w:t>Attn: Mr. Reuben B. Collins, II, Esq. – President</w:t>
      </w:r>
    </w:p>
    <w:p w14:paraId="3CAB53D1" w14:textId="77777777" w:rsidR="00E066DA" w:rsidRPr="00FF5147" w:rsidRDefault="00E066DA" w:rsidP="00E066DA">
      <w:pPr>
        <w:rPr>
          <w:sz w:val="22"/>
          <w:szCs w:val="22"/>
        </w:rPr>
      </w:pPr>
    </w:p>
    <w:tbl>
      <w:tblPr>
        <w:tblW w:w="0" w:type="auto"/>
        <w:tblLook w:val="0000" w:firstRow="0" w:lastRow="0" w:firstColumn="0" w:lastColumn="0" w:noHBand="0" w:noVBand="0"/>
      </w:tblPr>
      <w:tblGrid>
        <w:gridCol w:w="644"/>
        <w:gridCol w:w="8716"/>
      </w:tblGrid>
      <w:tr w:rsidR="00E066DA" w:rsidRPr="00FF5147" w14:paraId="5E6F8063" w14:textId="77777777" w:rsidTr="002C2782">
        <w:trPr>
          <w:trHeight w:val="330"/>
        </w:trPr>
        <w:tc>
          <w:tcPr>
            <w:tcW w:w="648" w:type="dxa"/>
          </w:tcPr>
          <w:p w14:paraId="13BB50BF" w14:textId="77777777" w:rsidR="00E066DA" w:rsidRPr="00FF5147" w:rsidRDefault="00E066DA" w:rsidP="002C2782">
            <w:pPr>
              <w:rPr>
                <w:sz w:val="22"/>
                <w:szCs w:val="22"/>
              </w:rPr>
            </w:pPr>
            <w:r w:rsidRPr="00FF5147">
              <w:rPr>
                <w:sz w:val="22"/>
                <w:szCs w:val="22"/>
              </w:rPr>
              <w:t>Re:</w:t>
            </w:r>
          </w:p>
        </w:tc>
        <w:tc>
          <w:tcPr>
            <w:tcW w:w="8928" w:type="dxa"/>
          </w:tcPr>
          <w:p w14:paraId="1415755F" w14:textId="77777777" w:rsidR="00E066DA" w:rsidRPr="00FF5147" w:rsidRDefault="00E066DA" w:rsidP="002C2782">
            <w:pPr>
              <w:rPr>
                <w:sz w:val="22"/>
                <w:szCs w:val="22"/>
              </w:rPr>
            </w:pPr>
            <w:r w:rsidRPr="00FF5147">
              <w:rPr>
                <w:sz w:val="22"/>
                <w:szCs w:val="22"/>
              </w:rPr>
              <w:t>Forest Conservation Ordinance Update</w:t>
            </w:r>
          </w:p>
          <w:p w14:paraId="16448A04" w14:textId="77777777" w:rsidR="00E066DA" w:rsidRPr="00FF5147" w:rsidRDefault="00E066DA" w:rsidP="002C2782">
            <w:pPr>
              <w:rPr>
                <w:sz w:val="22"/>
                <w:szCs w:val="22"/>
              </w:rPr>
            </w:pPr>
            <w:r w:rsidRPr="00FF5147">
              <w:rPr>
                <w:sz w:val="22"/>
                <w:szCs w:val="22"/>
              </w:rPr>
              <w:t>July 18, 2022 Public Hearing</w:t>
            </w:r>
          </w:p>
        </w:tc>
      </w:tr>
    </w:tbl>
    <w:p w14:paraId="769D33FF" w14:textId="77777777" w:rsidR="00E066DA" w:rsidRPr="00FF5147" w:rsidRDefault="00E066DA" w:rsidP="00E066DA">
      <w:pPr>
        <w:rPr>
          <w:sz w:val="22"/>
          <w:szCs w:val="22"/>
        </w:rPr>
      </w:pPr>
      <w:r w:rsidRPr="00FF5147">
        <w:rPr>
          <w:sz w:val="22"/>
          <w:szCs w:val="22"/>
        </w:rPr>
        <w:t xml:space="preserve"> </w:t>
      </w:r>
    </w:p>
    <w:p w14:paraId="07E0BC45" w14:textId="45D34F5C" w:rsidR="00E066DA" w:rsidRPr="00FF5147" w:rsidRDefault="00E066DA" w:rsidP="00E066DA">
      <w:pPr>
        <w:rPr>
          <w:sz w:val="22"/>
          <w:szCs w:val="22"/>
        </w:rPr>
      </w:pPr>
      <w:r w:rsidRPr="00FF5147">
        <w:rPr>
          <w:sz w:val="22"/>
          <w:szCs w:val="22"/>
        </w:rPr>
        <w:t xml:space="preserve">Dear </w:t>
      </w:r>
      <w:r w:rsidR="003651F3">
        <w:rPr>
          <w:sz w:val="22"/>
          <w:szCs w:val="22"/>
        </w:rPr>
        <w:t xml:space="preserve">President Collins and </w:t>
      </w:r>
      <w:proofErr w:type="spellStart"/>
      <w:r w:rsidR="003651F3">
        <w:rPr>
          <w:sz w:val="22"/>
          <w:szCs w:val="22"/>
        </w:rPr>
        <w:t>Commissoners</w:t>
      </w:r>
      <w:proofErr w:type="spellEnd"/>
      <w:r w:rsidR="003651F3">
        <w:rPr>
          <w:sz w:val="22"/>
          <w:szCs w:val="22"/>
        </w:rPr>
        <w:t>:</w:t>
      </w:r>
    </w:p>
    <w:p w14:paraId="51D363E8" w14:textId="35AC986B" w:rsidR="00646B68" w:rsidRPr="00FF5147" w:rsidRDefault="00646B68" w:rsidP="00E066DA">
      <w:pPr>
        <w:rPr>
          <w:sz w:val="22"/>
          <w:szCs w:val="22"/>
        </w:rPr>
      </w:pPr>
    </w:p>
    <w:p w14:paraId="35A8B867" w14:textId="18C927D5" w:rsidR="00646B68" w:rsidRPr="00FF5147" w:rsidRDefault="00646B68" w:rsidP="00646B68">
      <w:pPr>
        <w:rPr>
          <w:sz w:val="22"/>
          <w:szCs w:val="22"/>
        </w:rPr>
      </w:pPr>
      <w:r w:rsidRPr="00FF5147">
        <w:rPr>
          <w:sz w:val="22"/>
          <w:szCs w:val="22"/>
        </w:rPr>
        <w:t>The M</w:t>
      </w:r>
      <w:r w:rsidR="00855209" w:rsidRPr="00FF5147">
        <w:rPr>
          <w:sz w:val="22"/>
          <w:szCs w:val="22"/>
        </w:rPr>
        <w:t>aryland Building Industry Association</w:t>
      </w:r>
      <w:r w:rsidRPr="00FF5147">
        <w:rPr>
          <w:sz w:val="22"/>
          <w:szCs w:val="22"/>
        </w:rPr>
        <w:t xml:space="preserve"> understands the important contribution of forests toward air and water quality, recreational opportunities and overall quality of life. However, the need to maintain forests must be carefully balanced with other public policy objectives. </w:t>
      </w:r>
    </w:p>
    <w:p w14:paraId="35602853" w14:textId="77777777" w:rsidR="00E066DA" w:rsidRPr="00FF5147" w:rsidRDefault="00E066DA" w:rsidP="00E066DA">
      <w:pPr>
        <w:rPr>
          <w:sz w:val="22"/>
          <w:szCs w:val="22"/>
        </w:rPr>
      </w:pPr>
    </w:p>
    <w:p w14:paraId="44F7C1E2" w14:textId="0A0B9968" w:rsidR="00E066DA" w:rsidRPr="00646B68" w:rsidRDefault="00E066DA" w:rsidP="00E066DA">
      <w:pPr>
        <w:rPr>
          <w:sz w:val="22"/>
          <w:szCs w:val="22"/>
        </w:rPr>
      </w:pPr>
      <w:r w:rsidRPr="00646B68">
        <w:rPr>
          <w:sz w:val="22"/>
          <w:szCs w:val="22"/>
        </w:rPr>
        <w:t xml:space="preserve">The current draft of the Forest Conservation </w:t>
      </w:r>
      <w:r w:rsidR="00AC1697">
        <w:rPr>
          <w:sz w:val="22"/>
          <w:szCs w:val="22"/>
        </w:rPr>
        <w:t>Ordinance</w:t>
      </w:r>
      <w:r w:rsidRPr="00646B68">
        <w:rPr>
          <w:sz w:val="22"/>
          <w:szCs w:val="22"/>
        </w:rPr>
        <w:t xml:space="preserve"> includes positive changes that clarify technical and process requirements. However, we are concerned several proposed changes are not consistent with the Code of Maryland Regulations (“COMAR”) and others will have the unintended consequence of disincentivizing development in areas the Comprehensive Plan designate</w:t>
      </w:r>
      <w:r w:rsidR="00855209">
        <w:rPr>
          <w:sz w:val="22"/>
          <w:szCs w:val="22"/>
        </w:rPr>
        <w:t>s</w:t>
      </w:r>
      <w:r w:rsidRPr="00646B68">
        <w:rPr>
          <w:sz w:val="22"/>
          <w:szCs w:val="22"/>
        </w:rPr>
        <w:t xml:space="preserve"> for development. Compatibility between various land use documents is crucial to achieving the</w:t>
      </w:r>
      <w:r w:rsidR="0046600F">
        <w:rPr>
          <w:sz w:val="22"/>
          <w:szCs w:val="22"/>
        </w:rPr>
        <w:t xml:space="preserve"> County’s</w:t>
      </w:r>
      <w:r w:rsidRPr="00646B68">
        <w:rPr>
          <w:sz w:val="22"/>
          <w:szCs w:val="22"/>
        </w:rPr>
        <w:t xml:space="preserve"> </w:t>
      </w:r>
      <w:r w:rsidR="0046600F">
        <w:rPr>
          <w:sz w:val="22"/>
          <w:szCs w:val="22"/>
        </w:rPr>
        <w:t xml:space="preserve">overall </w:t>
      </w:r>
      <w:r w:rsidRPr="00646B68">
        <w:rPr>
          <w:sz w:val="22"/>
          <w:szCs w:val="22"/>
        </w:rPr>
        <w:t xml:space="preserve">goals. </w:t>
      </w:r>
    </w:p>
    <w:p w14:paraId="6FD5CABF" w14:textId="77777777" w:rsidR="00E066DA" w:rsidRPr="00646B68" w:rsidRDefault="00E066DA" w:rsidP="00E066DA">
      <w:pPr>
        <w:rPr>
          <w:sz w:val="22"/>
          <w:szCs w:val="22"/>
        </w:rPr>
      </w:pPr>
    </w:p>
    <w:p w14:paraId="77D004CF" w14:textId="02A72C46" w:rsidR="00E066DA" w:rsidRPr="00646B68" w:rsidRDefault="00E066DA" w:rsidP="00E066DA">
      <w:pPr>
        <w:rPr>
          <w:sz w:val="22"/>
          <w:szCs w:val="22"/>
        </w:rPr>
      </w:pPr>
      <w:r w:rsidRPr="00646B68">
        <w:rPr>
          <w:sz w:val="22"/>
          <w:szCs w:val="22"/>
        </w:rPr>
        <w:t xml:space="preserve">The draft ordinance should be revised to be consistent with COMAR, remove the penalties for reconfiguring on-site forest conservation easements and remove designated development areas from the proposed Priority Forest Retention Area. In addition, the proposed limits of the Priority Forest Retention Area should be reevaluated to ensure compatibility with the Bryans </w:t>
      </w:r>
      <w:r w:rsidR="00855209">
        <w:rPr>
          <w:sz w:val="22"/>
          <w:szCs w:val="22"/>
        </w:rPr>
        <w:t>R</w:t>
      </w:r>
      <w:r w:rsidRPr="00646B68">
        <w:rPr>
          <w:sz w:val="22"/>
          <w:szCs w:val="22"/>
        </w:rPr>
        <w:t>oad Subarea Plan</w:t>
      </w:r>
      <w:r w:rsidR="0046600F">
        <w:rPr>
          <w:sz w:val="22"/>
          <w:szCs w:val="22"/>
        </w:rPr>
        <w:t xml:space="preserve"> and the Western Charles County Technology Corridor.</w:t>
      </w:r>
      <w:r w:rsidRPr="00646B68">
        <w:rPr>
          <w:sz w:val="22"/>
          <w:szCs w:val="22"/>
        </w:rPr>
        <w:t xml:space="preserve"> Our specific comments and recommendations are summarized below.  </w:t>
      </w:r>
    </w:p>
    <w:p w14:paraId="02556A1F" w14:textId="77777777" w:rsidR="00E066DA" w:rsidRPr="00646B68" w:rsidRDefault="00E066DA" w:rsidP="00E066DA">
      <w:pPr>
        <w:rPr>
          <w:sz w:val="22"/>
          <w:szCs w:val="22"/>
        </w:rPr>
      </w:pPr>
    </w:p>
    <w:p w14:paraId="21D4D08D" w14:textId="77777777" w:rsidR="00E066DA" w:rsidRPr="00646B68" w:rsidRDefault="00E066DA" w:rsidP="00E066DA">
      <w:pPr>
        <w:rPr>
          <w:sz w:val="22"/>
          <w:szCs w:val="22"/>
          <w:u w:val="single"/>
        </w:rPr>
      </w:pPr>
      <w:r w:rsidRPr="00646B68">
        <w:rPr>
          <w:sz w:val="22"/>
          <w:szCs w:val="22"/>
          <w:u w:val="single"/>
        </w:rPr>
        <w:t>Page 10</w:t>
      </w:r>
    </w:p>
    <w:p w14:paraId="7C5167EB" w14:textId="77777777" w:rsidR="00E066DA" w:rsidRPr="00646B68" w:rsidRDefault="00E066DA" w:rsidP="00E066DA">
      <w:pPr>
        <w:rPr>
          <w:sz w:val="22"/>
          <w:szCs w:val="22"/>
        </w:rPr>
      </w:pPr>
      <w:r w:rsidRPr="00646B68">
        <w:rPr>
          <w:sz w:val="22"/>
          <w:szCs w:val="22"/>
        </w:rPr>
        <w:t xml:space="preserve">Line 14 – The proposed change to the definition of OFF-SITE is inconsistent with the COMAR definition. The current Ordinance defines OFF-SITE as </w:t>
      </w:r>
      <w:r w:rsidRPr="00646B68">
        <w:rPr>
          <w:b/>
          <w:bCs/>
          <w:sz w:val="22"/>
          <w:szCs w:val="22"/>
        </w:rPr>
        <w:t xml:space="preserve">“Outside the limits of the area encompassed by a TRACT” </w:t>
      </w:r>
      <w:r w:rsidRPr="00646B68">
        <w:rPr>
          <w:sz w:val="22"/>
          <w:szCs w:val="22"/>
        </w:rPr>
        <w:t>which is consistent with COMAR.</w:t>
      </w:r>
      <w:r w:rsidRPr="00646B68">
        <w:rPr>
          <w:b/>
          <w:bCs/>
          <w:sz w:val="22"/>
          <w:szCs w:val="22"/>
        </w:rPr>
        <w:t xml:space="preserve"> </w:t>
      </w:r>
      <w:r w:rsidRPr="00646B68">
        <w:rPr>
          <w:sz w:val="22"/>
          <w:szCs w:val="22"/>
        </w:rPr>
        <w:t>The definition should remain as stated in the current Ordinance.</w:t>
      </w:r>
    </w:p>
    <w:p w14:paraId="5A0CAA24" w14:textId="77777777" w:rsidR="00E066DA" w:rsidRPr="00646B68" w:rsidRDefault="00E066DA" w:rsidP="00E066DA">
      <w:pPr>
        <w:rPr>
          <w:sz w:val="22"/>
          <w:szCs w:val="22"/>
        </w:rPr>
      </w:pPr>
    </w:p>
    <w:p w14:paraId="32E80603" w14:textId="77777777" w:rsidR="00E066DA" w:rsidRPr="00646B68" w:rsidRDefault="00E066DA" w:rsidP="00E066DA">
      <w:pPr>
        <w:rPr>
          <w:sz w:val="22"/>
          <w:szCs w:val="22"/>
        </w:rPr>
      </w:pPr>
      <w:r w:rsidRPr="00646B68">
        <w:rPr>
          <w:sz w:val="22"/>
          <w:szCs w:val="22"/>
        </w:rPr>
        <w:t>Line 27 – The proposed change to the definition of ON-SITE is inconsistent with the COMAR definition. The current Ordinance defines ON-SITE as “</w:t>
      </w:r>
      <w:r w:rsidRPr="00646B68">
        <w:rPr>
          <w:b/>
          <w:bCs/>
          <w:sz w:val="22"/>
          <w:szCs w:val="22"/>
        </w:rPr>
        <w:t xml:space="preserve">Within the limits of the area encompassed by a TRACT including an area classified as a One-Hundred-Year-Floodplain” </w:t>
      </w:r>
      <w:r w:rsidRPr="00646B68">
        <w:rPr>
          <w:sz w:val="22"/>
          <w:szCs w:val="22"/>
        </w:rPr>
        <w:t>which is consistent with COMAR. The definition should remain as stated in the current Ordinance.</w:t>
      </w:r>
    </w:p>
    <w:p w14:paraId="0A3B8041" w14:textId="7E77AAC1" w:rsidR="00E066DA" w:rsidRPr="00646B68" w:rsidRDefault="00E066DA" w:rsidP="00E066DA">
      <w:pPr>
        <w:rPr>
          <w:sz w:val="22"/>
          <w:szCs w:val="22"/>
        </w:rPr>
      </w:pPr>
    </w:p>
    <w:p w14:paraId="4FDE9C55" w14:textId="2A204A36" w:rsidR="00E066DA" w:rsidRPr="00646B68" w:rsidRDefault="00E066DA" w:rsidP="00E066DA">
      <w:pPr>
        <w:rPr>
          <w:sz w:val="22"/>
          <w:szCs w:val="22"/>
        </w:rPr>
      </w:pPr>
    </w:p>
    <w:p w14:paraId="33CBD196" w14:textId="2D342469" w:rsidR="00E066DA" w:rsidRPr="00646B68" w:rsidRDefault="00E066DA" w:rsidP="00E066DA">
      <w:pPr>
        <w:rPr>
          <w:sz w:val="22"/>
          <w:szCs w:val="22"/>
        </w:rPr>
      </w:pPr>
    </w:p>
    <w:p w14:paraId="44659D78" w14:textId="77777777" w:rsidR="00E066DA" w:rsidRPr="00646B68" w:rsidRDefault="00E066DA" w:rsidP="00E066DA">
      <w:pPr>
        <w:rPr>
          <w:sz w:val="22"/>
          <w:szCs w:val="22"/>
        </w:rPr>
      </w:pPr>
    </w:p>
    <w:p w14:paraId="27B3E4F4" w14:textId="77777777" w:rsidR="00E066DA" w:rsidRPr="00646B68" w:rsidRDefault="00E066DA" w:rsidP="00E066DA">
      <w:pPr>
        <w:rPr>
          <w:sz w:val="22"/>
          <w:szCs w:val="22"/>
        </w:rPr>
      </w:pPr>
      <w:r w:rsidRPr="00646B68">
        <w:rPr>
          <w:sz w:val="22"/>
          <w:szCs w:val="22"/>
          <w:u w:val="single"/>
        </w:rPr>
        <w:lastRenderedPageBreak/>
        <w:t>Page 32</w:t>
      </w:r>
    </w:p>
    <w:p w14:paraId="3B6325FB" w14:textId="5529B311" w:rsidR="00E066DA" w:rsidRPr="00646B68" w:rsidRDefault="00E066DA" w:rsidP="00E066DA">
      <w:pPr>
        <w:rPr>
          <w:sz w:val="22"/>
          <w:szCs w:val="22"/>
        </w:rPr>
      </w:pPr>
      <w:r w:rsidRPr="00646B68">
        <w:rPr>
          <w:sz w:val="22"/>
          <w:szCs w:val="22"/>
        </w:rPr>
        <w:t>Line 29 – To clarify when payments are required Section D. should be revised to read as follows: “</w:t>
      </w:r>
      <w:r w:rsidRPr="00646B68">
        <w:rPr>
          <w:b/>
          <w:bCs/>
          <w:sz w:val="22"/>
          <w:szCs w:val="22"/>
        </w:rPr>
        <w:t xml:space="preserve">If Afforestation cannot reasonably be accomplished On-site or Off-site, the requirement to pay into a </w:t>
      </w:r>
      <w:r w:rsidR="00572389">
        <w:rPr>
          <w:b/>
          <w:bCs/>
          <w:sz w:val="22"/>
          <w:szCs w:val="22"/>
        </w:rPr>
        <w:t>F</w:t>
      </w:r>
      <w:r w:rsidRPr="00646B68">
        <w:rPr>
          <w:b/>
          <w:bCs/>
          <w:sz w:val="22"/>
          <w:szCs w:val="22"/>
        </w:rPr>
        <w:t>orest Conservation Fund shall be satisfied upon approval of the Final Forest Conservation Plan and prior to Department approval of a permit for any land disturbing activity”.</w:t>
      </w:r>
    </w:p>
    <w:p w14:paraId="65B4D0A5" w14:textId="77777777" w:rsidR="00E066DA" w:rsidRPr="00646B68" w:rsidRDefault="00E066DA" w:rsidP="00E066DA">
      <w:pPr>
        <w:rPr>
          <w:sz w:val="22"/>
          <w:szCs w:val="22"/>
        </w:rPr>
      </w:pPr>
    </w:p>
    <w:p w14:paraId="64B52833" w14:textId="77777777" w:rsidR="00E066DA" w:rsidRPr="00646B68" w:rsidRDefault="00E066DA" w:rsidP="00E066DA">
      <w:pPr>
        <w:rPr>
          <w:sz w:val="22"/>
          <w:szCs w:val="22"/>
          <w:u w:val="single"/>
        </w:rPr>
      </w:pPr>
      <w:r w:rsidRPr="00646B68">
        <w:rPr>
          <w:sz w:val="22"/>
          <w:szCs w:val="22"/>
          <w:u w:val="single"/>
        </w:rPr>
        <w:t>Page 37</w:t>
      </w:r>
    </w:p>
    <w:p w14:paraId="14D419B3" w14:textId="110FCF73" w:rsidR="00E066DA" w:rsidRPr="00646B68" w:rsidRDefault="00E066DA" w:rsidP="00E066DA">
      <w:pPr>
        <w:rPr>
          <w:sz w:val="22"/>
          <w:szCs w:val="22"/>
        </w:rPr>
      </w:pPr>
      <w:r w:rsidRPr="00646B68">
        <w:rPr>
          <w:sz w:val="22"/>
          <w:szCs w:val="22"/>
        </w:rPr>
        <w:t xml:space="preserve">Line 12 – For consistency throughout the Ordinance Section F. should be revised to read as follows: </w:t>
      </w:r>
      <w:r w:rsidRPr="00646B68">
        <w:rPr>
          <w:b/>
          <w:bCs/>
          <w:sz w:val="22"/>
          <w:szCs w:val="22"/>
        </w:rPr>
        <w:t xml:space="preserve">If Afforestation cannot reasonably be accomplished On-site or Off-site, the requirement to pay into a </w:t>
      </w:r>
      <w:r w:rsidR="00572389">
        <w:rPr>
          <w:b/>
          <w:bCs/>
          <w:sz w:val="22"/>
          <w:szCs w:val="22"/>
        </w:rPr>
        <w:t>F</w:t>
      </w:r>
      <w:r w:rsidRPr="00646B68">
        <w:rPr>
          <w:b/>
          <w:bCs/>
          <w:sz w:val="22"/>
          <w:szCs w:val="22"/>
        </w:rPr>
        <w:t xml:space="preserve">orest Conservation Fund shall be satisfied upon approval of the Final Forest </w:t>
      </w:r>
      <w:r w:rsidR="00572389">
        <w:rPr>
          <w:b/>
          <w:bCs/>
          <w:sz w:val="22"/>
          <w:szCs w:val="22"/>
        </w:rPr>
        <w:t>C</w:t>
      </w:r>
      <w:r w:rsidRPr="00646B68">
        <w:rPr>
          <w:b/>
          <w:bCs/>
          <w:sz w:val="22"/>
          <w:szCs w:val="22"/>
        </w:rPr>
        <w:t>onservation Plan and prior to Department approval of a permit for any land disturbing activity.</w:t>
      </w:r>
    </w:p>
    <w:p w14:paraId="27EAB475" w14:textId="77777777" w:rsidR="00E066DA" w:rsidRPr="00646B68" w:rsidRDefault="00E066DA" w:rsidP="00E066DA">
      <w:pPr>
        <w:rPr>
          <w:sz w:val="22"/>
          <w:szCs w:val="22"/>
        </w:rPr>
      </w:pPr>
    </w:p>
    <w:p w14:paraId="7219AA78" w14:textId="77777777" w:rsidR="00E066DA" w:rsidRPr="00646B68" w:rsidRDefault="00E066DA" w:rsidP="00E066DA">
      <w:pPr>
        <w:rPr>
          <w:sz w:val="22"/>
          <w:szCs w:val="22"/>
          <w:u w:val="single"/>
        </w:rPr>
      </w:pPr>
      <w:r w:rsidRPr="00646B68">
        <w:rPr>
          <w:sz w:val="22"/>
          <w:szCs w:val="22"/>
          <w:u w:val="single"/>
        </w:rPr>
        <w:t>Page 38</w:t>
      </w:r>
    </w:p>
    <w:p w14:paraId="5DAD9FC0" w14:textId="752825BA" w:rsidR="00E066DA" w:rsidRPr="00646B68" w:rsidRDefault="00E066DA" w:rsidP="00E066DA">
      <w:pPr>
        <w:rPr>
          <w:sz w:val="22"/>
          <w:szCs w:val="22"/>
        </w:rPr>
      </w:pPr>
      <w:r w:rsidRPr="00646B68">
        <w:rPr>
          <w:sz w:val="22"/>
          <w:szCs w:val="22"/>
        </w:rPr>
        <w:t xml:space="preserve">Line 28 – The proposed changes to Subsection (4)(b) increase the offsite retention and planting for projects located in the Development District when the offsite location isn’t within the same watershed as the project. This change would be a disincentive to developing in the areas targeted for development by the Comprehensive Plan. </w:t>
      </w:r>
      <w:r w:rsidRPr="00646B68">
        <w:rPr>
          <w:b/>
          <w:bCs/>
          <w:sz w:val="22"/>
          <w:szCs w:val="22"/>
        </w:rPr>
        <w:t xml:space="preserve">This section should be revised to require forest retention at a 2:1 ratio and planting at a 1:1 ratio as </w:t>
      </w:r>
      <w:r w:rsidR="00572389">
        <w:rPr>
          <w:b/>
          <w:bCs/>
          <w:sz w:val="22"/>
          <w:szCs w:val="22"/>
        </w:rPr>
        <w:t>stated</w:t>
      </w:r>
      <w:r w:rsidRPr="00646B68">
        <w:rPr>
          <w:b/>
          <w:bCs/>
          <w:sz w:val="22"/>
          <w:szCs w:val="22"/>
        </w:rPr>
        <w:t xml:space="preserve"> in the current Ordinance.</w:t>
      </w:r>
    </w:p>
    <w:p w14:paraId="68D660CA" w14:textId="77777777" w:rsidR="00E066DA" w:rsidRPr="00646B68" w:rsidRDefault="00E066DA" w:rsidP="00E066DA">
      <w:pPr>
        <w:rPr>
          <w:sz w:val="22"/>
          <w:szCs w:val="22"/>
        </w:rPr>
      </w:pPr>
    </w:p>
    <w:p w14:paraId="034C0FA3" w14:textId="77777777" w:rsidR="00E066DA" w:rsidRPr="00646B68" w:rsidRDefault="00E066DA" w:rsidP="00E066DA">
      <w:pPr>
        <w:rPr>
          <w:sz w:val="22"/>
          <w:szCs w:val="22"/>
          <w:u w:val="single"/>
        </w:rPr>
      </w:pPr>
      <w:r w:rsidRPr="00646B68">
        <w:rPr>
          <w:sz w:val="22"/>
          <w:szCs w:val="22"/>
          <w:u w:val="single"/>
        </w:rPr>
        <w:t>Page 41</w:t>
      </w:r>
    </w:p>
    <w:p w14:paraId="1800830F" w14:textId="77777777" w:rsidR="00E066DA" w:rsidRPr="00646B68" w:rsidRDefault="00E066DA" w:rsidP="00E066DA">
      <w:pPr>
        <w:rPr>
          <w:sz w:val="22"/>
          <w:szCs w:val="22"/>
        </w:rPr>
      </w:pPr>
      <w:r w:rsidRPr="00646B68">
        <w:rPr>
          <w:sz w:val="22"/>
          <w:szCs w:val="22"/>
        </w:rPr>
        <w:t xml:space="preserve">Line 25 – For consistency throughout the Ordinance Section C. should be revised to read as follows: </w:t>
      </w:r>
      <w:r w:rsidRPr="00646B68">
        <w:rPr>
          <w:b/>
          <w:bCs/>
          <w:sz w:val="22"/>
          <w:szCs w:val="22"/>
        </w:rPr>
        <w:t>Money contributed to the Forest Conservation Fund shall be paid prior to Department approval of a permit for any land disturbing activity.</w:t>
      </w:r>
    </w:p>
    <w:p w14:paraId="66B09BAF" w14:textId="77777777" w:rsidR="00E066DA" w:rsidRPr="00646B68" w:rsidRDefault="00E066DA" w:rsidP="00E066DA">
      <w:pPr>
        <w:rPr>
          <w:b/>
          <w:bCs/>
          <w:sz w:val="22"/>
          <w:szCs w:val="22"/>
        </w:rPr>
      </w:pPr>
    </w:p>
    <w:p w14:paraId="20517320" w14:textId="77777777" w:rsidR="00E066DA" w:rsidRPr="00646B68" w:rsidRDefault="00E066DA" w:rsidP="00E066DA">
      <w:pPr>
        <w:rPr>
          <w:sz w:val="22"/>
          <w:szCs w:val="22"/>
          <w:u w:val="single"/>
        </w:rPr>
      </w:pPr>
      <w:r w:rsidRPr="00646B68">
        <w:rPr>
          <w:sz w:val="22"/>
          <w:szCs w:val="22"/>
          <w:u w:val="single"/>
        </w:rPr>
        <w:t>Page 47</w:t>
      </w:r>
    </w:p>
    <w:p w14:paraId="6FBA5156" w14:textId="77777777" w:rsidR="00E066DA" w:rsidRPr="00646B68" w:rsidRDefault="00E066DA" w:rsidP="00E066DA">
      <w:pPr>
        <w:rPr>
          <w:sz w:val="22"/>
          <w:szCs w:val="22"/>
        </w:rPr>
      </w:pPr>
      <w:r w:rsidRPr="00646B68">
        <w:rPr>
          <w:sz w:val="22"/>
          <w:szCs w:val="22"/>
        </w:rPr>
        <w:t xml:space="preserve">Line 26 – Section A.(3) establishes new criteria for amendments to Final Forest Conservation Plans with recorded protective agreements. </w:t>
      </w:r>
      <w:proofErr w:type="gramStart"/>
      <w:r w:rsidRPr="00646B68">
        <w:rPr>
          <w:sz w:val="22"/>
          <w:szCs w:val="22"/>
        </w:rPr>
        <w:t>Typically</w:t>
      </w:r>
      <w:proofErr w:type="gramEnd"/>
      <w:r w:rsidRPr="00646B68">
        <w:rPr>
          <w:sz w:val="22"/>
          <w:szCs w:val="22"/>
        </w:rPr>
        <w:t xml:space="preserve"> these revisions consist of a reconfiguration or relocation of a  recorded forest conservation easement. As currently proposed the criteria penalizes applicants seeking to revise an easement. The proposed criteria would require an applicant to protect an onsite area of higher retention value and equal area in order to modify an existing easement. Since all high priority forest areas within a property are the first priority for protection, applicants would be forced to protect an onsite area 1.5 times larger than the area modified. To incentivize protection of onsite areas this section should be revised as follows:</w:t>
      </w:r>
    </w:p>
    <w:p w14:paraId="59CF51B8" w14:textId="77777777" w:rsidR="00E066DA" w:rsidRPr="00646B68" w:rsidRDefault="00E066DA" w:rsidP="00E066DA">
      <w:pPr>
        <w:rPr>
          <w:b/>
          <w:bCs/>
          <w:sz w:val="22"/>
          <w:szCs w:val="22"/>
        </w:rPr>
      </w:pPr>
      <w:r w:rsidRPr="00646B68">
        <w:rPr>
          <w:b/>
          <w:bCs/>
          <w:sz w:val="22"/>
          <w:szCs w:val="22"/>
        </w:rPr>
        <w:t>(3) a.</w:t>
      </w:r>
      <w:r w:rsidRPr="00646B68">
        <w:rPr>
          <w:sz w:val="22"/>
          <w:szCs w:val="22"/>
        </w:rPr>
        <w:t xml:space="preserve"> “</w:t>
      </w:r>
      <w:r w:rsidRPr="00646B68">
        <w:rPr>
          <w:b/>
          <w:bCs/>
          <w:sz w:val="22"/>
          <w:szCs w:val="22"/>
        </w:rPr>
        <w:t>Another on-site area of at least the same size that is an equal or higher priority area of Retention, in accordance with the sequencing requirements in 298-15.C; or”</w:t>
      </w:r>
    </w:p>
    <w:p w14:paraId="017ED4E4" w14:textId="77777777" w:rsidR="00E066DA" w:rsidRPr="00646B68" w:rsidRDefault="00E066DA" w:rsidP="00E066DA">
      <w:pPr>
        <w:rPr>
          <w:b/>
          <w:bCs/>
          <w:sz w:val="22"/>
          <w:szCs w:val="22"/>
        </w:rPr>
      </w:pPr>
    </w:p>
    <w:p w14:paraId="79B9E885" w14:textId="0B907D52" w:rsidR="00E066DA" w:rsidRPr="00646B68" w:rsidRDefault="00E066DA" w:rsidP="00E066DA">
      <w:pPr>
        <w:rPr>
          <w:b/>
          <w:bCs/>
          <w:sz w:val="22"/>
          <w:szCs w:val="22"/>
        </w:rPr>
      </w:pPr>
      <w:r w:rsidRPr="00646B68">
        <w:rPr>
          <w:b/>
          <w:bCs/>
          <w:sz w:val="22"/>
          <w:szCs w:val="22"/>
        </w:rPr>
        <w:t xml:space="preserve">(3) b. “Another on-site area of at least the same size that is a lesser priority area of Retention, in accordance with the sequencing requirements in 298-15.C at a </w:t>
      </w:r>
      <w:r w:rsidR="00FF5147">
        <w:rPr>
          <w:b/>
          <w:bCs/>
          <w:sz w:val="22"/>
          <w:szCs w:val="22"/>
        </w:rPr>
        <w:t>one to one and one half</w:t>
      </w:r>
      <w:r w:rsidRPr="00646B68">
        <w:rPr>
          <w:b/>
          <w:bCs/>
          <w:sz w:val="22"/>
          <w:szCs w:val="22"/>
        </w:rPr>
        <w:t xml:space="preserve"> (</w:t>
      </w:r>
      <w:r w:rsidR="00FF5147">
        <w:rPr>
          <w:b/>
          <w:bCs/>
          <w:sz w:val="22"/>
          <w:szCs w:val="22"/>
        </w:rPr>
        <w:t>1:1.5</w:t>
      </w:r>
      <w:r w:rsidRPr="00646B68">
        <w:rPr>
          <w:b/>
          <w:bCs/>
          <w:sz w:val="22"/>
          <w:szCs w:val="22"/>
        </w:rPr>
        <w:t>); or”</w:t>
      </w:r>
    </w:p>
    <w:p w14:paraId="6C1A3146" w14:textId="77777777" w:rsidR="00E066DA" w:rsidRPr="00646B68" w:rsidRDefault="00E066DA" w:rsidP="00E066DA">
      <w:pPr>
        <w:rPr>
          <w:b/>
          <w:bCs/>
          <w:sz w:val="22"/>
          <w:szCs w:val="22"/>
        </w:rPr>
      </w:pPr>
    </w:p>
    <w:p w14:paraId="43E132A8" w14:textId="4A5B34DE" w:rsidR="00E066DA" w:rsidRPr="00646B68" w:rsidRDefault="00E066DA" w:rsidP="00E066DA">
      <w:pPr>
        <w:rPr>
          <w:b/>
          <w:bCs/>
          <w:sz w:val="22"/>
          <w:szCs w:val="22"/>
        </w:rPr>
      </w:pPr>
      <w:r w:rsidRPr="00646B68">
        <w:rPr>
          <w:b/>
          <w:bCs/>
          <w:sz w:val="22"/>
          <w:szCs w:val="22"/>
        </w:rPr>
        <w:t xml:space="preserve">(3) c. “An off-site area at the required off-site ratio times a </w:t>
      </w:r>
      <w:r w:rsidR="00FF5147">
        <w:rPr>
          <w:b/>
          <w:bCs/>
          <w:sz w:val="22"/>
          <w:szCs w:val="22"/>
        </w:rPr>
        <w:t>one to one and one half</w:t>
      </w:r>
      <w:r w:rsidR="00FF5147" w:rsidRPr="00646B68">
        <w:rPr>
          <w:b/>
          <w:bCs/>
          <w:sz w:val="22"/>
          <w:szCs w:val="22"/>
        </w:rPr>
        <w:t xml:space="preserve"> (</w:t>
      </w:r>
      <w:r w:rsidR="00FF5147">
        <w:rPr>
          <w:b/>
          <w:bCs/>
          <w:sz w:val="22"/>
          <w:szCs w:val="22"/>
        </w:rPr>
        <w:t>1:1.5</w:t>
      </w:r>
      <w:r w:rsidR="00FF5147" w:rsidRPr="00646B68">
        <w:rPr>
          <w:b/>
          <w:bCs/>
          <w:sz w:val="22"/>
          <w:szCs w:val="22"/>
        </w:rPr>
        <w:t>)</w:t>
      </w:r>
      <w:r w:rsidRPr="00646B68">
        <w:rPr>
          <w:b/>
          <w:bCs/>
          <w:sz w:val="22"/>
          <w:szCs w:val="22"/>
        </w:rPr>
        <w:t>; or”</w:t>
      </w:r>
    </w:p>
    <w:p w14:paraId="316123FC" w14:textId="77777777" w:rsidR="00E066DA" w:rsidRPr="00646B68" w:rsidRDefault="00E066DA" w:rsidP="00E066DA">
      <w:pPr>
        <w:rPr>
          <w:b/>
          <w:bCs/>
          <w:sz w:val="22"/>
          <w:szCs w:val="22"/>
        </w:rPr>
      </w:pPr>
    </w:p>
    <w:p w14:paraId="76AE42ED" w14:textId="77777777" w:rsidR="00E066DA" w:rsidRPr="00646B68" w:rsidRDefault="00E066DA" w:rsidP="00E066DA">
      <w:pPr>
        <w:rPr>
          <w:b/>
          <w:bCs/>
          <w:sz w:val="22"/>
          <w:szCs w:val="22"/>
        </w:rPr>
      </w:pPr>
      <w:r w:rsidRPr="00646B68">
        <w:rPr>
          <w:b/>
          <w:bCs/>
          <w:sz w:val="22"/>
          <w:szCs w:val="22"/>
        </w:rPr>
        <w:t>(3) d. “A combination of mitigation areas approved by the Planning Director.”</w:t>
      </w:r>
    </w:p>
    <w:p w14:paraId="164A69C6" w14:textId="77777777" w:rsidR="00E066DA" w:rsidRPr="00646B68" w:rsidRDefault="00E066DA" w:rsidP="00E066DA">
      <w:pPr>
        <w:rPr>
          <w:sz w:val="22"/>
          <w:szCs w:val="22"/>
        </w:rPr>
      </w:pPr>
    </w:p>
    <w:p w14:paraId="3FC88528" w14:textId="77777777" w:rsidR="00E066DA" w:rsidRPr="00646B68" w:rsidRDefault="00E066DA" w:rsidP="00E066DA">
      <w:pPr>
        <w:rPr>
          <w:sz w:val="22"/>
          <w:szCs w:val="22"/>
          <w:u w:val="single"/>
        </w:rPr>
      </w:pPr>
      <w:r w:rsidRPr="00646B68">
        <w:rPr>
          <w:sz w:val="22"/>
          <w:szCs w:val="22"/>
          <w:u w:val="single"/>
        </w:rPr>
        <w:lastRenderedPageBreak/>
        <w:t>Appendix A</w:t>
      </w:r>
    </w:p>
    <w:p w14:paraId="0AA91A2A" w14:textId="11F7EABE" w:rsidR="00E066DA" w:rsidRPr="00646B68" w:rsidRDefault="00E066DA" w:rsidP="00E066DA">
      <w:pPr>
        <w:rPr>
          <w:sz w:val="22"/>
          <w:szCs w:val="22"/>
        </w:rPr>
      </w:pPr>
      <w:r w:rsidRPr="00646B68">
        <w:rPr>
          <w:sz w:val="22"/>
          <w:szCs w:val="22"/>
        </w:rPr>
        <w:t xml:space="preserve">The proposed Priority Forest Retention Area includes land near the Maryland airport and Route 210 zoned for development. The Board of County Commissioners recently established the </w:t>
      </w:r>
      <w:r w:rsidRPr="00646B68">
        <w:rPr>
          <w:color w:val="000000"/>
          <w:sz w:val="22"/>
          <w:szCs w:val="22"/>
        </w:rPr>
        <w:t>Western Charles County Technology Corridor to attract targeted technology businesses and complimentary support services</w:t>
      </w:r>
      <w:r w:rsidR="00AC1697">
        <w:rPr>
          <w:color w:val="000000"/>
          <w:sz w:val="22"/>
          <w:szCs w:val="22"/>
        </w:rPr>
        <w:t xml:space="preserve"> </w:t>
      </w:r>
      <w:r w:rsidR="002E21D8">
        <w:rPr>
          <w:color w:val="000000"/>
          <w:sz w:val="22"/>
          <w:szCs w:val="22"/>
        </w:rPr>
        <w:t>along</w:t>
      </w:r>
      <w:r w:rsidR="00AC1697">
        <w:rPr>
          <w:color w:val="000000"/>
          <w:sz w:val="22"/>
          <w:szCs w:val="22"/>
        </w:rPr>
        <w:t xml:space="preserve"> MD 210</w:t>
      </w:r>
      <w:r w:rsidR="002E21D8">
        <w:rPr>
          <w:color w:val="000000"/>
          <w:sz w:val="22"/>
          <w:szCs w:val="22"/>
        </w:rPr>
        <w:t xml:space="preserve"> and MD 227.</w:t>
      </w:r>
      <w:r w:rsidRPr="00646B68">
        <w:rPr>
          <w:color w:val="000000"/>
          <w:sz w:val="22"/>
          <w:szCs w:val="22"/>
        </w:rPr>
        <w:t xml:space="preserve"> Designating this same area a Priority Forest Retention area would </w:t>
      </w:r>
      <w:r w:rsidR="00572389">
        <w:rPr>
          <w:color w:val="000000"/>
          <w:sz w:val="22"/>
          <w:szCs w:val="22"/>
        </w:rPr>
        <w:t xml:space="preserve">conflict with </w:t>
      </w:r>
      <w:r w:rsidR="00FE506E">
        <w:rPr>
          <w:color w:val="000000"/>
          <w:sz w:val="22"/>
          <w:szCs w:val="22"/>
        </w:rPr>
        <w:t>the economic development goals of the technology corridor.</w:t>
      </w:r>
      <w:r w:rsidRPr="00646B68">
        <w:rPr>
          <w:color w:val="000000"/>
          <w:sz w:val="22"/>
          <w:szCs w:val="22"/>
        </w:rPr>
        <w:t xml:space="preserve">  </w:t>
      </w:r>
      <w:r w:rsidRPr="00646B68">
        <w:rPr>
          <w:sz w:val="22"/>
          <w:szCs w:val="22"/>
        </w:rPr>
        <w:t xml:space="preserve">Lands zoned for commercial and medium to high density residential development should be removed from the Priority Forest Retention Area. Also, the map should be revised to be consistent with the </w:t>
      </w:r>
      <w:r w:rsidR="00855209">
        <w:rPr>
          <w:sz w:val="22"/>
          <w:szCs w:val="22"/>
        </w:rPr>
        <w:t xml:space="preserve">goals and objectives of the </w:t>
      </w:r>
      <w:r w:rsidRPr="00646B68">
        <w:rPr>
          <w:sz w:val="22"/>
          <w:szCs w:val="22"/>
        </w:rPr>
        <w:t>new Bryans Road Subarea Plan</w:t>
      </w:r>
      <w:r w:rsidR="00FE506E">
        <w:rPr>
          <w:sz w:val="22"/>
          <w:szCs w:val="22"/>
        </w:rPr>
        <w:t xml:space="preserve"> and </w:t>
      </w:r>
      <w:r w:rsidR="002E21D8">
        <w:rPr>
          <w:sz w:val="22"/>
          <w:szCs w:val="22"/>
        </w:rPr>
        <w:t>W</w:t>
      </w:r>
      <w:r w:rsidR="00FE506E">
        <w:rPr>
          <w:sz w:val="22"/>
          <w:szCs w:val="22"/>
        </w:rPr>
        <w:t xml:space="preserve">estern </w:t>
      </w:r>
      <w:r w:rsidR="002E21D8">
        <w:rPr>
          <w:sz w:val="22"/>
          <w:szCs w:val="22"/>
        </w:rPr>
        <w:t>Charles County</w:t>
      </w:r>
      <w:r w:rsidR="00FE506E">
        <w:rPr>
          <w:sz w:val="22"/>
          <w:szCs w:val="22"/>
        </w:rPr>
        <w:t xml:space="preserve"> Technology Corridor.</w:t>
      </w:r>
      <w:r w:rsidRPr="00646B68">
        <w:rPr>
          <w:sz w:val="22"/>
          <w:szCs w:val="22"/>
        </w:rPr>
        <w:t xml:space="preserve"> </w:t>
      </w:r>
    </w:p>
    <w:p w14:paraId="145D6D71" w14:textId="77777777" w:rsidR="00E066DA" w:rsidRPr="00646B68" w:rsidRDefault="00E066DA" w:rsidP="00E066DA">
      <w:pPr>
        <w:rPr>
          <w:sz w:val="22"/>
          <w:szCs w:val="22"/>
        </w:rPr>
      </w:pPr>
    </w:p>
    <w:p w14:paraId="5F3C33A8" w14:textId="45BCD0EF" w:rsidR="00E066DA" w:rsidRPr="00646B68" w:rsidRDefault="00E066DA" w:rsidP="00E066DA">
      <w:pPr>
        <w:jc w:val="both"/>
        <w:rPr>
          <w:sz w:val="22"/>
          <w:szCs w:val="22"/>
        </w:rPr>
      </w:pPr>
      <w:r w:rsidRPr="00646B68">
        <w:rPr>
          <w:sz w:val="22"/>
          <w:szCs w:val="22"/>
        </w:rPr>
        <w:t xml:space="preserve">The Maryland Building Industry Association appreciates the opportunity to present comments and recommendations on the proposed updates to the </w:t>
      </w:r>
      <w:r w:rsidR="00855209">
        <w:rPr>
          <w:sz w:val="22"/>
          <w:szCs w:val="22"/>
        </w:rPr>
        <w:t>F</w:t>
      </w:r>
      <w:r w:rsidRPr="00646B68">
        <w:rPr>
          <w:sz w:val="22"/>
          <w:szCs w:val="22"/>
        </w:rPr>
        <w:t>orest Conservation Ordinance. We are available to discuss questions the Planning Commission may have regarding our comments.</w:t>
      </w:r>
    </w:p>
    <w:p w14:paraId="2396A94C" w14:textId="77777777" w:rsidR="00E066DA" w:rsidRPr="00646B68" w:rsidRDefault="00E066DA" w:rsidP="00E066DA">
      <w:pPr>
        <w:rPr>
          <w:sz w:val="22"/>
          <w:szCs w:val="22"/>
        </w:rPr>
      </w:pPr>
    </w:p>
    <w:p w14:paraId="65E98659" w14:textId="77777777" w:rsidR="00E066DA" w:rsidRPr="00646B68" w:rsidRDefault="00E066DA" w:rsidP="00E066DA">
      <w:pPr>
        <w:rPr>
          <w:sz w:val="22"/>
          <w:szCs w:val="22"/>
        </w:rPr>
      </w:pPr>
      <w:r w:rsidRPr="00646B68">
        <w:rPr>
          <w:sz w:val="22"/>
          <w:szCs w:val="22"/>
        </w:rPr>
        <w:t>Sincerely,</w:t>
      </w:r>
    </w:p>
    <w:p w14:paraId="4AD3F7F2" w14:textId="77777777" w:rsidR="00E066DA" w:rsidRPr="00646B68" w:rsidRDefault="00E066DA" w:rsidP="00E066DA">
      <w:pPr>
        <w:rPr>
          <w:sz w:val="22"/>
          <w:szCs w:val="22"/>
        </w:rPr>
      </w:pPr>
    </w:p>
    <w:p w14:paraId="40DBE32B" w14:textId="77777777" w:rsidR="00E066DA" w:rsidRPr="00646B68" w:rsidRDefault="00E066DA" w:rsidP="00E066DA">
      <w:pPr>
        <w:rPr>
          <w:sz w:val="22"/>
          <w:szCs w:val="22"/>
        </w:rPr>
      </w:pPr>
    </w:p>
    <w:p w14:paraId="4EA6C3CF" w14:textId="77777777" w:rsidR="00E066DA" w:rsidRPr="00646B68" w:rsidRDefault="00E066DA" w:rsidP="00E066DA">
      <w:pPr>
        <w:rPr>
          <w:sz w:val="22"/>
          <w:szCs w:val="22"/>
        </w:rPr>
      </w:pPr>
    </w:p>
    <w:p w14:paraId="6EB2B835" w14:textId="77777777" w:rsidR="00E066DA" w:rsidRPr="00646B68" w:rsidRDefault="00E066DA" w:rsidP="00E066DA">
      <w:pPr>
        <w:pStyle w:val="NoSpacing"/>
        <w:jc w:val="both"/>
        <w:rPr>
          <w:rFonts w:ascii="Times New Roman" w:hAnsi="Times New Roman" w:cs="Times New Roman"/>
        </w:rPr>
      </w:pPr>
      <w:r w:rsidRPr="00646B68">
        <w:rPr>
          <w:rFonts w:ascii="Times New Roman" w:hAnsi="Times New Roman" w:cs="Times New Roman"/>
        </w:rPr>
        <w:t>Douglas W. Meeker</w:t>
      </w:r>
    </w:p>
    <w:p w14:paraId="5951CB8E" w14:textId="77777777" w:rsidR="00E066DA" w:rsidRPr="00646B68" w:rsidRDefault="00E066DA" w:rsidP="00E066DA">
      <w:pPr>
        <w:pStyle w:val="NoSpacing"/>
        <w:jc w:val="both"/>
        <w:rPr>
          <w:rFonts w:ascii="Times New Roman" w:hAnsi="Times New Roman" w:cs="Times New Roman"/>
        </w:rPr>
      </w:pPr>
      <w:r w:rsidRPr="00646B68">
        <w:rPr>
          <w:rFonts w:ascii="Times New Roman" w:hAnsi="Times New Roman" w:cs="Times New Roman"/>
        </w:rPr>
        <w:t xml:space="preserve">Charles County Chapter Chair - </w:t>
      </w:r>
      <w:r w:rsidRPr="00646B68">
        <w:rPr>
          <w:rFonts w:ascii="Times New Roman" w:hAnsi="Times New Roman" w:cs="Times New Roman"/>
          <w:bCs/>
        </w:rPr>
        <w:t>Maryland Building Industry Association</w:t>
      </w:r>
    </w:p>
    <w:p w14:paraId="31FADBA1" w14:textId="77777777" w:rsidR="00E066DA" w:rsidRPr="00646B68" w:rsidRDefault="00E066DA" w:rsidP="00E066DA">
      <w:pPr>
        <w:rPr>
          <w:sz w:val="22"/>
          <w:szCs w:val="22"/>
        </w:rPr>
      </w:pPr>
    </w:p>
    <w:p w14:paraId="7FC88F8B" w14:textId="77777777" w:rsidR="00E066DA" w:rsidRPr="00646B68" w:rsidRDefault="00E066DA" w:rsidP="00E066DA">
      <w:pPr>
        <w:rPr>
          <w:sz w:val="22"/>
          <w:szCs w:val="22"/>
        </w:rPr>
      </w:pPr>
      <w:r w:rsidRPr="00646B68">
        <w:rPr>
          <w:sz w:val="22"/>
          <w:szCs w:val="22"/>
        </w:rPr>
        <w:t>cc: Griffin Benton, VP Government Affairs</w:t>
      </w:r>
    </w:p>
    <w:p w14:paraId="4C37C274" w14:textId="77777777" w:rsidR="00E066DA" w:rsidRPr="00646B68" w:rsidRDefault="00E066DA" w:rsidP="00E066DA">
      <w:pPr>
        <w:rPr>
          <w:sz w:val="22"/>
          <w:szCs w:val="22"/>
        </w:rPr>
      </w:pPr>
    </w:p>
    <w:sectPr w:rsidR="00E066DA" w:rsidRPr="00646B68" w:rsidSect="00C92E9D">
      <w:headerReference w:type="default" r:id="rId8"/>
      <w:footerReference w:type="default" r:id="rId9"/>
      <w:pgSz w:w="12240" w:h="15840"/>
      <w:pgMar w:top="864" w:right="1440" w:bottom="864" w:left="1440" w:header="44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2C9FD" w14:textId="77777777" w:rsidR="004774D7" w:rsidRDefault="004774D7" w:rsidP="001B2254">
      <w:r>
        <w:separator/>
      </w:r>
    </w:p>
  </w:endnote>
  <w:endnote w:type="continuationSeparator" w:id="0">
    <w:p w14:paraId="73A6FAE9" w14:textId="77777777" w:rsidR="004774D7" w:rsidRDefault="004774D7" w:rsidP="001B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8F4A" w14:textId="77777777" w:rsidR="001B2254" w:rsidRDefault="001B2254" w:rsidP="001B2254">
    <w:pPr>
      <w:pStyle w:val="Footer"/>
      <w:ind w:left="-1440"/>
    </w:pPr>
    <w:r>
      <w:rPr>
        <w:noProof/>
      </w:rPr>
      <w:drawing>
        <wp:inline distT="0" distB="0" distL="0" distR="0" wp14:anchorId="1B18183B" wp14:editId="6A8A78BD">
          <wp:extent cx="7758817" cy="18046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7790261" cy="18119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BB0E" w14:textId="77777777" w:rsidR="004774D7" w:rsidRDefault="004774D7" w:rsidP="001B2254">
      <w:r>
        <w:separator/>
      </w:r>
    </w:p>
  </w:footnote>
  <w:footnote w:type="continuationSeparator" w:id="0">
    <w:p w14:paraId="0E3814D8" w14:textId="77777777" w:rsidR="004774D7" w:rsidRDefault="004774D7" w:rsidP="001B2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7474" w14:textId="77777777" w:rsidR="001B2254" w:rsidRDefault="001B2254">
    <w:pPr>
      <w:pStyle w:val="Header"/>
    </w:pPr>
    <w:r>
      <w:rPr>
        <w:noProof/>
      </w:rPr>
      <w:drawing>
        <wp:inline distT="0" distB="0" distL="0" distR="0" wp14:anchorId="70410B6A" wp14:editId="0A5FDFC4">
          <wp:extent cx="5943600" cy="8972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897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A5562"/>
    <w:multiLevelType w:val="hybridMultilevel"/>
    <w:tmpl w:val="A56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86233"/>
    <w:multiLevelType w:val="multilevel"/>
    <w:tmpl w:val="E622469E"/>
    <w:lvl w:ilvl="0">
      <w:start w:val="1"/>
      <w:numFmt w:val="decimal"/>
      <w:lvlText w:val="%1."/>
      <w:lvlJc w:val="left"/>
      <w:pPr>
        <w:tabs>
          <w:tab w:val="num" w:pos="720"/>
        </w:tabs>
        <w:ind w:left="720" w:hanging="360"/>
      </w:pPr>
      <w:rPr>
        <w:rFonts w:asciiTheme="minorHAnsi" w:eastAsia="Times New Roman" w:hAnsiTheme="minorHAnsi"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16124F"/>
    <w:multiLevelType w:val="hybridMultilevel"/>
    <w:tmpl w:val="0F022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17480"/>
    <w:multiLevelType w:val="hybridMultilevel"/>
    <w:tmpl w:val="3110C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34A26"/>
    <w:multiLevelType w:val="multilevel"/>
    <w:tmpl w:val="96585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A34209"/>
    <w:multiLevelType w:val="multilevel"/>
    <w:tmpl w:val="4B125086"/>
    <w:lvl w:ilvl="0">
      <w:start w:val="2"/>
      <w:numFmt w:val="decimal"/>
      <w:lvlText w:val="%1"/>
      <w:lvlJc w:val="left"/>
      <w:pPr>
        <w:ind w:left="1020" w:hanging="600"/>
        <w:jc w:val="left"/>
      </w:pPr>
      <w:rPr>
        <w:rFonts w:hint="default"/>
        <w:lang w:val="en-US" w:eastAsia="en-US" w:bidi="ar-SA"/>
      </w:rPr>
    </w:lvl>
    <w:lvl w:ilvl="1">
      <w:numFmt w:val="decimal"/>
      <w:lvlText w:val="%1.%2"/>
      <w:lvlJc w:val="left"/>
      <w:pPr>
        <w:ind w:left="1020" w:hanging="600"/>
        <w:jc w:val="left"/>
      </w:pPr>
      <w:rPr>
        <w:rFonts w:hint="default"/>
        <w:w w:val="100"/>
        <w:lang w:val="en-US" w:eastAsia="en-US" w:bidi="ar-SA"/>
      </w:rPr>
    </w:lvl>
    <w:lvl w:ilvl="2">
      <w:start w:val="1"/>
      <w:numFmt w:val="upperRoman"/>
      <w:lvlText w:val="%3."/>
      <w:lvlJc w:val="left"/>
      <w:pPr>
        <w:ind w:left="1740" w:hanging="360"/>
        <w:jc w:val="left"/>
      </w:pPr>
      <w:rPr>
        <w:rFonts w:ascii="Times New Roman" w:eastAsia="Times New Roman" w:hAnsi="Times New Roman" w:cs="Times New Roman" w:hint="default"/>
        <w:b w:val="0"/>
        <w:bCs w:val="0"/>
        <w:i w:val="0"/>
        <w:iCs w:val="0"/>
        <w:spacing w:val="-4"/>
        <w:w w:val="99"/>
        <w:sz w:val="24"/>
        <w:szCs w:val="24"/>
        <w:lang w:val="en-US" w:eastAsia="en-US" w:bidi="ar-SA"/>
      </w:rPr>
    </w:lvl>
    <w:lvl w:ilvl="3">
      <w:start w:val="1"/>
      <w:numFmt w:val="lowerRoman"/>
      <w:lvlText w:val="%4."/>
      <w:lvlJc w:val="left"/>
      <w:pPr>
        <w:ind w:left="3181" w:hanging="361"/>
        <w:jc w:val="left"/>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4940" w:hanging="361"/>
      </w:pPr>
      <w:rPr>
        <w:rFonts w:hint="default"/>
        <w:lang w:val="en-US" w:eastAsia="en-US" w:bidi="ar-SA"/>
      </w:rPr>
    </w:lvl>
    <w:lvl w:ilvl="5">
      <w:numFmt w:val="bullet"/>
      <w:lvlText w:val="•"/>
      <w:lvlJc w:val="left"/>
      <w:pPr>
        <w:ind w:left="5820" w:hanging="361"/>
      </w:pPr>
      <w:rPr>
        <w:rFonts w:hint="default"/>
        <w:lang w:val="en-US" w:eastAsia="en-US" w:bidi="ar-SA"/>
      </w:rPr>
    </w:lvl>
    <w:lvl w:ilvl="6">
      <w:numFmt w:val="bullet"/>
      <w:lvlText w:val="•"/>
      <w:lvlJc w:val="left"/>
      <w:pPr>
        <w:ind w:left="6700" w:hanging="361"/>
      </w:pPr>
      <w:rPr>
        <w:rFonts w:hint="default"/>
        <w:lang w:val="en-US" w:eastAsia="en-US" w:bidi="ar-SA"/>
      </w:rPr>
    </w:lvl>
    <w:lvl w:ilvl="7">
      <w:numFmt w:val="bullet"/>
      <w:lvlText w:val="•"/>
      <w:lvlJc w:val="left"/>
      <w:pPr>
        <w:ind w:left="7580" w:hanging="361"/>
      </w:pPr>
      <w:rPr>
        <w:rFonts w:hint="default"/>
        <w:lang w:val="en-US" w:eastAsia="en-US" w:bidi="ar-SA"/>
      </w:rPr>
    </w:lvl>
    <w:lvl w:ilvl="8">
      <w:numFmt w:val="bullet"/>
      <w:lvlText w:val="•"/>
      <w:lvlJc w:val="left"/>
      <w:pPr>
        <w:ind w:left="8460" w:hanging="361"/>
      </w:pPr>
      <w:rPr>
        <w:rFonts w:hint="default"/>
        <w:lang w:val="en-US" w:eastAsia="en-US" w:bidi="ar-SA"/>
      </w:rPr>
    </w:lvl>
  </w:abstractNum>
  <w:num w:numId="1" w16cid:durableId="384641327">
    <w:abstractNumId w:val="4"/>
  </w:num>
  <w:num w:numId="2" w16cid:durableId="2042627445">
    <w:abstractNumId w:val="2"/>
  </w:num>
  <w:num w:numId="3" w16cid:durableId="1978414178">
    <w:abstractNumId w:val="3"/>
  </w:num>
  <w:num w:numId="4" w16cid:durableId="974068395">
    <w:abstractNumId w:val="0"/>
  </w:num>
  <w:num w:numId="5" w16cid:durableId="1444032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2986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54"/>
    <w:rsid w:val="00043CE1"/>
    <w:rsid w:val="00082E91"/>
    <w:rsid w:val="000A7937"/>
    <w:rsid w:val="000B3005"/>
    <w:rsid w:val="000C4E8A"/>
    <w:rsid w:val="000D36C6"/>
    <w:rsid w:val="00100ADF"/>
    <w:rsid w:val="001168BE"/>
    <w:rsid w:val="001470E3"/>
    <w:rsid w:val="00152552"/>
    <w:rsid w:val="00160383"/>
    <w:rsid w:val="00174777"/>
    <w:rsid w:val="00182100"/>
    <w:rsid w:val="001B2254"/>
    <w:rsid w:val="001C0360"/>
    <w:rsid w:val="001C5F33"/>
    <w:rsid w:val="001D0682"/>
    <w:rsid w:val="001D1A50"/>
    <w:rsid w:val="001D7D1E"/>
    <w:rsid w:val="001E3536"/>
    <w:rsid w:val="001F0781"/>
    <w:rsid w:val="001F0DC0"/>
    <w:rsid w:val="002034E5"/>
    <w:rsid w:val="002209DB"/>
    <w:rsid w:val="00237115"/>
    <w:rsid w:val="002431E0"/>
    <w:rsid w:val="00250A1B"/>
    <w:rsid w:val="002532C1"/>
    <w:rsid w:val="0028607E"/>
    <w:rsid w:val="00287211"/>
    <w:rsid w:val="002B6E72"/>
    <w:rsid w:val="002D2628"/>
    <w:rsid w:val="002E21D8"/>
    <w:rsid w:val="002F2C4F"/>
    <w:rsid w:val="002F7C04"/>
    <w:rsid w:val="00306F9C"/>
    <w:rsid w:val="003075F0"/>
    <w:rsid w:val="00315063"/>
    <w:rsid w:val="003410D5"/>
    <w:rsid w:val="00343243"/>
    <w:rsid w:val="00350619"/>
    <w:rsid w:val="00357D8A"/>
    <w:rsid w:val="003651F3"/>
    <w:rsid w:val="00385BF3"/>
    <w:rsid w:val="003A0206"/>
    <w:rsid w:val="003C735B"/>
    <w:rsid w:val="003D4045"/>
    <w:rsid w:val="003D7C32"/>
    <w:rsid w:val="003E531F"/>
    <w:rsid w:val="0040516C"/>
    <w:rsid w:val="00445FF7"/>
    <w:rsid w:val="004555A4"/>
    <w:rsid w:val="0046600F"/>
    <w:rsid w:val="00473850"/>
    <w:rsid w:val="004774D7"/>
    <w:rsid w:val="00497F0E"/>
    <w:rsid w:val="004E67FF"/>
    <w:rsid w:val="004F7ADA"/>
    <w:rsid w:val="0051255C"/>
    <w:rsid w:val="00525A36"/>
    <w:rsid w:val="0053531C"/>
    <w:rsid w:val="005451F8"/>
    <w:rsid w:val="00545515"/>
    <w:rsid w:val="00547B26"/>
    <w:rsid w:val="00550EA2"/>
    <w:rsid w:val="00563EA8"/>
    <w:rsid w:val="00566133"/>
    <w:rsid w:val="00572389"/>
    <w:rsid w:val="00572A19"/>
    <w:rsid w:val="00574922"/>
    <w:rsid w:val="00581784"/>
    <w:rsid w:val="00581EDD"/>
    <w:rsid w:val="005978A1"/>
    <w:rsid w:val="005A5FAE"/>
    <w:rsid w:val="005D1447"/>
    <w:rsid w:val="005E360D"/>
    <w:rsid w:val="00605231"/>
    <w:rsid w:val="00612D59"/>
    <w:rsid w:val="00615CCD"/>
    <w:rsid w:val="00616413"/>
    <w:rsid w:val="006203AA"/>
    <w:rsid w:val="00642B72"/>
    <w:rsid w:val="00646B68"/>
    <w:rsid w:val="00660369"/>
    <w:rsid w:val="0066375A"/>
    <w:rsid w:val="006942A6"/>
    <w:rsid w:val="00695AB3"/>
    <w:rsid w:val="006A150A"/>
    <w:rsid w:val="006C3770"/>
    <w:rsid w:val="006C6A60"/>
    <w:rsid w:val="006E1626"/>
    <w:rsid w:val="006E7139"/>
    <w:rsid w:val="00702029"/>
    <w:rsid w:val="00712A6A"/>
    <w:rsid w:val="007222E3"/>
    <w:rsid w:val="00745688"/>
    <w:rsid w:val="007544E5"/>
    <w:rsid w:val="007569F3"/>
    <w:rsid w:val="007905BA"/>
    <w:rsid w:val="00790785"/>
    <w:rsid w:val="0079685B"/>
    <w:rsid w:val="007A17F1"/>
    <w:rsid w:val="007B0236"/>
    <w:rsid w:val="007D1B2D"/>
    <w:rsid w:val="007D4FD8"/>
    <w:rsid w:val="007F598F"/>
    <w:rsid w:val="00822B59"/>
    <w:rsid w:val="00841A5C"/>
    <w:rsid w:val="00850815"/>
    <w:rsid w:val="00851CB4"/>
    <w:rsid w:val="00855209"/>
    <w:rsid w:val="00860B6F"/>
    <w:rsid w:val="00864B0C"/>
    <w:rsid w:val="00865BD5"/>
    <w:rsid w:val="008B61D7"/>
    <w:rsid w:val="008C165E"/>
    <w:rsid w:val="008E3C29"/>
    <w:rsid w:val="008F59F3"/>
    <w:rsid w:val="008F78A0"/>
    <w:rsid w:val="009016AA"/>
    <w:rsid w:val="009055F2"/>
    <w:rsid w:val="0091003B"/>
    <w:rsid w:val="009529FF"/>
    <w:rsid w:val="00975508"/>
    <w:rsid w:val="0098507A"/>
    <w:rsid w:val="00995917"/>
    <w:rsid w:val="009C2415"/>
    <w:rsid w:val="009C54FF"/>
    <w:rsid w:val="009D73CB"/>
    <w:rsid w:val="009F0160"/>
    <w:rsid w:val="00A0088D"/>
    <w:rsid w:val="00A03BD7"/>
    <w:rsid w:val="00A21092"/>
    <w:rsid w:val="00A26863"/>
    <w:rsid w:val="00A2755E"/>
    <w:rsid w:val="00A428C3"/>
    <w:rsid w:val="00A505CF"/>
    <w:rsid w:val="00A665ED"/>
    <w:rsid w:val="00A82531"/>
    <w:rsid w:val="00A8779D"/>
    <w:rsid w:val="00AB3E4C"/>
    <w:rsid w:val="00AC1697"/>
    <w:rsid w:val="00AD140B"/>
    <w:rsid w:val="00B11CD6"/>
    <w:rsid w:val="00B342A9"/>
    <w:rsid w:val="00B46A68"/>
    <w:rsid w:val="00B474AB"/>
    <w:rsid w:val="00B515D9"/>
    <w:rsid w:val="00B62C02"/>
    <w:rsid w:val="00B75658"/>
    <w:rsid w:val="00B758B2"/>
    <w:rsid w:val="00B81767"/>
    <w:rsid w:val="00BA54B4"/>
    <w:rsid w:val="00BC1E8E"/>
    <w:rsid w:val="00BC5F51"/>
    <w:rsid w:val="00BC6014"/>
    <w:rsid w:val="00BC794B"/>
    <w:rsid w:val="00BD559A"/>
    <w:rsid w:val="00BD6C69"/>
    <w:rsid w:val="00BE6348"/>
    <w:rsid w:val="00C01589"/>
    <w:rsid w:val="00C35531"/>
    <w:rsid w:val="00C77862"/>
    <w:rsid w:val="00C81872"/>
    <w:rsid w:val="00C92E9D"/>
    <w:rsid w:val="00C96F77"/>
    <w:rsid w:val="00CC4F8F"/>
    <w:rsid w:val="00CD2D29"/>
    <w:rsid w:val="00CD344E"/>
    <w:rsid w:val="00CE1F3C"/>
    <w:rsid w:val="00D05732"/>
    <w:rsid w:val="00D17277"/>
    <w:rsid w:val="00D37A25"/>
    <w:rsid w:val="00D40AEE"/>
    <w:rsid w:val="00D511CB"/>
    <w:rsid w:val="00D66DE5"/>
    <w:rsid w:val="00D720C4"/>
    <w:rsid w:val="00DE15A2"/>
    <w:rsid w:val="00DE25BB"/>
    <w:rsid w:val="00DE2FDB"/>
    <w:rsid w:val="00E01289"/>
    <w:rsid w:val="00E042A6"/>
    <w:rsid w:val="00E066DA"/>
    <w:rsid w:val="00E251F3"/>
    <w:rsid w:val="00E4305F"/>
    <w:rsid w:val="00E470C0"/>
    <w:rsid w:val="00E60A0B"/>
    <w:rsid w:val="00E66E08"/>
    <w:rsid w:val="00E9705C"/>
    <w:rsid w:val="00EB4744"/>
    <w:rsid w:val="00EC023A"/>
    <w:rsid w:val="00EC7B4C"/>
    <w:rsid w:val="00ED6731"/>
    <w:rsid w:val="00EE039A"/>
    <w:rsid w:val="00F42C67"/>
    <w:rsid w:val="00F7020B"/>
    <w:rsid w:val="00F921DE"/>
    <w:rsid w:val="00FB7EC2"/>
    <w:rsid w:val="00FC5788"/>
    <w:rsid w:val="00FC5808"/>
    <w:rsid w:val="00FD7AEC"/>
    <w:rsid w:val="00FE506E"/>
    <w:rsid w:val="00FE5B1F"/>
    <w:rsid w:val="00FF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4FBBFB"/>
  <w15:docId w15:val="{B9A52598-4E76-4253-8B70-10B75C8A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937"/>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470E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225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B2254"/>
    <w:rPr>
      <w:rFonts w:ascii="Tahoma" w:hAnsi="Tahoma" w:cs="Tahoma"/>
      <w:sz w:val="16"/>
      <w:szCs w:val="16"/>
    </w:rPr>
  </w:style>
  <w:style w:type="paragraph" w:styleId="Header">
    <w:name w:val="header"/>
    <w:basedOn w:val="Normal"/>
    <w:link w:val="HeaderChar"/>
    <w:uiPriority w:val="99"/>
    <w:unhideWhenUsed/>
    <w:rsid w:val="001B22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B2254"/>
  </w:style>
  <w:style w:type="paragraph" w:styleId="Footer">
    <w:name w:val="footer"/>
    <w:basedOn w:val="Normal"/>
    <w:link w:val="FooterChar"/>
    <w:uiPriority w:val="99"/>
    <w:unhideWhenUsed/>
    <w:rsid w:val="001B22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B2254"/>
  </w:style>
  <w:style w:type="character" w:styleId="Hyperlink">
    <w:name w:val="Hyperlink"/>
    <w:basedOn w:val="DefaultParagraphFont"/>
    <w:uiPriority w:val="99"/>
    <w:unhideWhenUsed/>
    <w:rsid w:val="00605231"/>
    <w:rPr>
      <w:color w:val="0000FF" w:themeColor="hyperlink"/>
      <w:u w:val="single"/>
    </w:rPr>
  </w:style>
  <w:style w:type="paragraph" w:styleId="NormalWeb">
    <w:name w:val="Normal (Web)"/>
    <w:basedOn w:val="Normal"/>
    <w:uiPriority w:val="99"/>
    <w:unhideWhenUsed/>
    <w:rsid w:val="00695AB3"/>
    <w:rPr>
      <w:rFonts w:eastAsiaTheme="minorHAnsi"/>
    </w:rPr>
  </w:style>
  <w:style w:type="character" w:styleId="Strong">
    <w:name w:val="Strong"/>
    <w:basedOn w:val="DefaultParagraphFont"/>
    <w:uiPriority w:val="22"/>
    <w:qFormat/>
    <w:rsid w:val="00695AB3"/>
    <w:rPr>
      <w:b/>
      <w:bCs/>
    </w:rPr>
  </w:style>
  <w:style w:type="paragraph" w:styleId="NoSpacing">
    <w:name w:val="No Spacing"/>
    <w:uiPriority w:val="1"/>
    <w:qFormat/>
    <w:rsid w:val="00695AB3"/>
    <w:pPr>
      <w:spacing w:after="0" w:line="240" w:lineRule="auto"/>
    </w:pPr>
  </w:style>
  <w:style w:type="character" w:customStyle="1" w:styleId="Heading2Char">
    <w:name w:val="Heading 2 Char"/>
    <w:basedOn w:val="DefaultParagraphFont"/>
    <w:link w:val="Heading2"/>
    <w:uiPriority w:val="9"/>
    <w:rsid w:val="001470E3"/>
    <w:rPr>
      <w:rFonts w:ascii="Times New Roman" w:eastAsia="Times New Roman" w:hAnsi="Times New Roman" w:cs="Times New Roman"/>
      <w:b/>
      <w:bCs/>
      <w:sz w:val="36"/>
      <w:szCs w:val="36"/>
    </w:rPr>
  </w:style>
  <w:style w:type="character" w:customStyle="1" w:styleId="item">
    <w:name w:val="item"/>
    <w:basedOn w:val="DefaultParagraphFont"/>
    <w:rsid w:val="001470E3"/>
  </w:style>
  <w:style w:type="paragraph" w:styleId="ListParagraph">
    <w:name w:val="List Paragraph"/>
    <w:basedOn w:val="Normal"/>
    <w:uiPriority w:val="34"/>
    <w:qFormat/>
    <w:rsid w:val="00660369"/>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66036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60369"/>
    <w:rPr>
      <w:sz w:val="20"/>
      <w:szCs w:val="20"/>
    </w:rPr>
  </w:style>
  <w:style w:type="character" w:styleId="FootnoteReference">
    <w:name w:val="footnote reference"/>
    <w:basedOn w:val="DefaultParagraphFont"/>
    <w:uiPriority w:val="99"/>
    <w:semiHidden/>
    <w:unhideWhenUsed/>
    <w:rsid w:val="00660369"/>
    <w:rPr>
      <w:vertAlign w:val="superscript"/>
    </w:rPr>
  </w:style>
  <w:style w:type="paragraph" w:customStyle="1" w:styleId="m-4947428560558311236msolistparagraph">
    <w:name w:val="m_-4947428560558311236msolistparagraph"/>
    <w:basedOn w:val="Normal"/>
    <w:rsid w:val="00D17277"/>
    <w:pPr>
      <w:spacing w:before="100" w:beforeAutospacing="1" w:after="100" w:afterAutospacing="1"/>
    </w:pPr>
    <w:rPr>
      <w:rFonts w:ascii="Calibri" w:eastAsiaTheme="minorHAnsi" w:hAnsi="Calibri" w:cs="Calibri"/>
      <w:sz w:val="22"/>
      <w:szCs w:val="22"/>
    </w:rPr>
  </w:style>
  <w:style w:type="paragraph" w:styleId="Revision">
    <w:name w:val="Revision"/>
    <w:hidden/>
    <w:uiPriority w:val="99"/>
    <w:semiHidden/>
    <w:rsid w:val="005451F8"/>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C1E8E"/>
    <w:rPr>
      <w:sz w:val="16"/>
      <w:szCs w:val="16"/>
    </w:rPr>
  </w:style>
  <w:style w:type="paragraph" w:styleId="CommentText">
    <w:name w:val="annotation text"/>
    <w:basedOn w:val="Normal"/>
    <w:link w:val="CommentTextChar"/>
    <w:uiPriority w:val="99"/>
    <w:semiHidden/>
    <w:unhideWhenUsed/>
    <w:rsid w:val="00BC1E8E"/>
    <w:pPr>
      <w:widowControl w:val="0"/>
      <w:autoSpaceDE w:val="0"/>
      <w:autoSpaceDN w:val="0"/>
    </w:pPr>
    <w:rPr>
      <w:sz w:val="20"/>
      <w:szCs w:val="20"/>
    </w:rPr>
  </w:style>
  <w:style w:type="character" w:customStyle="1" w:styleId="CommentTextChar">
    <w:name w:val="Comment Text Char"/>
    <w:basedOn w:val="DefaultParagraphFont"/>
    <w:link w:val="CommentText"/>
    <w:uiPriority w:val="99"/>
    <w:semiHidden/>
    <w:rsid w:val="00BC1E8E"/>
    <w:rPr>
      <w:rFonts w:ascii="Times New Roman" w:eastAsia="Times New Roman" w:hAnsi="Times New Roman" w:cs="Times New Roman"/>
      <w:sz w:val="20"/>
      <w:szCs w:val="20"/>
    </w:rPr>
  </w:style>
  <w:style w:type="paragraph" w:styleId="BodyText">
    <w:name w:val="Body Text"/>
    <w:basedOn w:val="Normal"/>
    <w:link w:val="BodyTextChar"/>
    <w:uiPriority w:val="1"/>
    <w:qFormat/>
    <w:rsid w:val="00B81767"/>
    <w:pPr>
      <w:widowControl w:val="0"/>
      <w:autoSpaceDE w:val="0"/>
      <w:autoSpaceDN w:val="0"/>
    </w:pPr>
  </w:style>
  <w:style w:type="character" w:customStyle="1" w:styleId="BodyTextChar">
    <w:name w:val="Body Text Char"/>
    <w:basedOn w:val="DefaultParagraphFont"/>
    <w:link w:val="BodyText"/>
    <w:uiPriority w:val="1"/>
    <w:rsid w:val="00B81767"/>
    <w:rPr>
      <w:rFonts w:ascii="Times New Roman" w:eastAsia="Times New Roman" w:hAnsi="Times New Roman" w:cs="Times New Roman"/>
      <w:sz w:val="24"/>
      <w:szCs w:val="24"/>
    </w:rPr>
  </w:style>
  <w:style w:type="table" w:styleId="TableGrid">
    <w:name w:val="Table Grid"/>
    <w:basedOn w:val="TableNormal"/>
    <w:uiPriority w:val="59"/>
    <w:rsid w:val="00307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73928">
      <w:bodyDiv w:val="1"/>
      <w:marLeft w:val="0"/>
      <w:marRight w:val="0"/>
      <w:marTop w:val="0"/>
      <w:marBottom w:val="0"/>
      <w:divBdr>
        <w:top w:val="none" w:sz="0" w:space="0" w:color="auto"/>
        <w:left w:val="none" w:sz="0" w:space="0" w:color="auto"/>
        <w:bottom w:val="none" w:sz="0" w:space="0" w:color="auto"/>
        <w:right w:val="none" w:sz="0" w:space="0" w:color="auto"/>
      </w:divBdr>
    </w:div>
    <w:div w:id="399643574">
      <w:bodyDiv w:val="1"/>
      <w:marLeft w:val="0"/>
      <w:marRight w:val="0"/>
      <w:marTop w:val="0"/>
      <w:marBottom w:val="0"/>
      <w:divBdr>
        <w:top w:val="none" w:sz="0" w:space="0" w:color="auto"/>
        <w:left w:val="none" w:sz="0" w:space="0" w:color="auto"/>
        <w:bottom w:val="none" w:sz="0" w:space="0" w:color="auto"/>
        <w:right w:val="none" w:sz="0" w:space="0" w:color="auto"/>
      </w:divBdr>
    </w:div>
    <w:div w:id="495268945">
      <w:bodyDiv w:val="1"/>
      <w:marLeft w:val="0"/>
      <w:marRight w:val="0"/>
      <w:marTop w:val="0"/>
      <w:marBottom w:val="0"/>
      <w:divBdr>
        <w:top w:val="none" w:sz="0" w:space="0" w:color="auto"/>
        <w:left w:val="none" w:sz="0" w:space="0" w:color="auto"/>
        <w:bottom w:val="none" w:sz="0" w:space="0" w:color="auto"/>
        <w:right w:val="none" w:sz="0" w:space="0" w:color="auto"/>
      </w:divBdr>
    </w:div>
    <w:div w:id="592905464">
      <w:bodyDiv w:val="1"/>
      <w:marLeft w:val="0"/>
      <w:marRight w:val="0"/>
      <w:marTop w:val="0"/>
      <w:marBottom w:val="0"/>
      <w:divBdr>
        <w:top w:val="none" w:sz="0" w:space="0" w:color="auto"/>
        <w:left w:val="none" w:sz="0" w:space="0" w:color="auto"/>
        <w:bottom w:val="none" w:sz="0" w:space="0" w:color="auto"/>
        <w:right w:val="none" w:sz="0" w:space="0" w:color="auto"/>
      </w:divBdr>
    </w:div>
    <w:div w:id="1023826297">
      <w:bodyDiv w:val="1"/>
      <w:marLeft w:val="0"/>
      <w:marRight w:val="0"/>
      <w:marTop w:val="0"/>
      <w:marBottom w:val="0"/>
      <w:divBdr>
        <w:top w:val="none" w:sz="0" w:space="0" w:color="auto"/>
        <w:left w:val="none" w:sz="0" w:space="0" w:color="auto"/>
        <w:bottom w:val="none" w:sz="0" w:space="0" w:color="auto"/>
        <w:right w:val="none" w:sz="0" w:space="0" w:color="auto"/>
      </w:divBdr>
    </w:div>
    <w:div w:id="1796603919">
      <w:bodyDiv w:val="1"/>
      <w:marLeft w:val="0"/>
      <w:marRight w:val="0"/>
      <w:marTop w:val="0"/>
      <w:marBottom w:val="0"/>
      <w:divBdr>
        <w:top w:val="none" w:sz="0" w:space="0" w:color="auto"/>
        <w:left w:val="none" w:sz="0" w:space="0" w:color="auto"/>
        <w:bottom w:val="none" w:sz="0" w:space="0" w:color="auto"/>
        <w:right w:val="none" w:sz="0" w:space="0" w:color="auto"/>
      </w:divBdr>
    </w:div>
    <w:div w:id="18051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40353-BD64-4944-8E31-94B27811B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Hogle</dc:creator>
  <cp:lastModifiedBy>Carol DeSoto</cp:lastModifiedBy>
  <cp:revision>2</cp:revision>
  <cp:lastPrinted>2022-07-18T17:24:00Z</cp:lastPrinted>
  <dcterms:created xsi:type="dcterms:W3CDTF">2022-10-17T19:47:00Z</dcterms:created>
  <dcterms:modified xsi:type="dcterms:W3CDTF">2022-10-17T19:47:00Z</dcterms:modified>
</cp:coreProperties>
</file>